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2025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</w:t>
      </w:r>
      <w:r>
        <w:rPr>
          <w:rFonts w:ascii="Times New Roman" w:eastAsia="Times New Roman" w:hAnsi="Times New Roman" w:cs="Times New Roman"/>
          <w:sz w:val="28"/>
          <w:szCs w:val="28"/>
        </w:rPr>
        <w:t>часть постановления объявлена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2025 года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составлено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2025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округа-Югры Миненко Юлия Борисовна,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защитника БУ ХМАО-Югры «Окружная киническая больница» - Мурашовой А.С., действующей на основании доверенности №Д-14 от 23.06.2025,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д.87/1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803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-2803/2025, возбужденное по ч.13 ст.19.5 КоАП РФ в отношении юридического лица Бюджетное учреждение Ханты-Мансийского автономного округа-Югры «Окружная клиническая больница» (сокращенное наименование-БУ «Окружная клиническая больница», далее по тексту учреждение), ИНН:8601004445, ОГРН:1028600514360, законный представитель юридического лица –главный врач </w:t>
      </w:r>
      <w:r>
        <w:rPr>
          <w:rFonts w:ascii="Times New Roman" w:eastAsia="Times New Roman" w:hAnsi="Times New Roman" w:cs="Times New Roman"/>
          <w:sz w:val="28"/>
          <w:szCs w:val="28"/>
        </w:rPr>
        <w:t>Кутефа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Е.И., юридический адрес: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д.40, сведений о привлечении ранее 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«Окружная клиническая больница», находящееся по месту регистрации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д.40, в срок до 24:00 час. 01.04.2025 не выполнило требования пунктов №№4, 5</w:t>
      </w:r>
      <w:r>
        <w:rPr>
          <w:rFonts w:ascii="Times New Roman" w:eastAsia="Times New Roman" w:hAnsi="Times New Roman" w:cs="Times New Roman"/>
          <w:sz w:val="28"/>
          <w:szCs w:val="28"/>
        </w:rPr>
        <w:t>, 6, 7, 8, 9, 10, 11,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№</w:t>
      </w:r>
      <w:r>
        <w:rPr>
          <w:rFonts w:ascii="Times New Roman" w:eastAsia="Times New Roman" w:hAnsi="Times New Roman" w:cs="Times New Roman"/>
          <w:sz w:val="28"/>
          <w:szCs w:val="28"/>
        </w:rPr>
        <w:t>2303/171-86/7</w:t>
      </w:r>
      <w:r>
        <w:rPr>
          <w:rFonts w:ascii="Times New Roman" w:eastAsia="Times New Roman" w:hAnsi="Times New Roman" w:cs="Times New Roman"/>
          <w:sz w:val="28"/>
          <w:szCs w:val="28"/>
        </w:rPr>
        <w:t>-П/ПВП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14.04.2023 об устранении нарушений обязательных требований пожарной безопасности, содержащихся в Федеральном законе от 22.07.2008 №123-ФЗ «Технический регламент о требованиях пожарной безопасности»,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Свод правил (далее СП)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5.13130.2009 «Системы противопожарной защиты. Установки пожарной сигнализации и пожаротушения автоматические. Нормы и правила проектирования»</w:t>
      </w:r>
      <w:r>
        <w:rPr>
          <w:rFonts w:ascii="Times New Roman" w:eastAsia="Times New Roman" w:hAnsi="Times New Roman" w:cs="Times New Roman"/>
          <w:sz w:val="28"/>
          <w:szCs w:val="28"/>
        </w:rPr>
        <w:t>, СП 3.13130.2009 «Системы противопожарной защиты. Системы оповещения и управления эвакуацией людей при пожаре. Требования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 на объекте защиты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котором осуществляется деятельность в сфере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«Инфекционный корпус на 90 коек ОКБ. (Блок А в осях 1</w:t>
      </w:r>
      <w:r>
        <w:rPr>
          <w:rFonts w:ascii="Times New Roman" w:eastAsia="Times New Roman" w:hAnsi="Times New Roman" w:cs="Times New Roman"/>
          <w:sz w:val="28"/>
          <w:szCs w:val="28"/>
        </w:rPr>
        <w:t>3-39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и, находящемся в оперативном управлении данного учреждения здравоохранения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-помещения для инженерного оборудования не защищены системой пожарной сигнализации (п.4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 формировании сигнала «пожар» на подвальном и техническом этажах не обеспечивается автоматическое включение системы оповещения и управления эвакуацией (п.5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-помещения №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2, 4, 39, 46, 51, 60, 61, 65 на 3 этаже, №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44, 46 на 2 этаже, №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3, 16, 17, 24, 69 на 1 этаже не защищены системой пожарной сигнализации (п.6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помещении №10 на 1 этаже с атриумом высотой более 12 м. установлены точечные пожарные </w:t>
      </w:r>
      <w:r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(п.7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помещениях №2, 15 на 2 этаже значение уровня звуковых сигналов СОУЭ менее нормативного (п.8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помещениях №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55 на 2 этаже, №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75, 15, 11 на 1 этаже значение уровня звуковых сигналов СОУЭ менее нормативного (п.9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помещении №76 (палата) на 2 этаже значение уровня звуковых сигналов СОУЭ менее нормативного (п.10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коридорах 1-го и 3-го этажей не включены световые </w:t>
      </w:r>
      <w:r>
        <w:rPr>
          <w:rFonts w:ascii="Times New Roman" w:eastAsia="Times New Roman" w:hAnsi="Times New Roman" w:cs="Times New Roman"/>
          <w:sz w:val="28"/>
          <w:szCs w:val="28"/>
        </w:rPr>
        <w:t>оповещатели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«Выход», установленные в коридорах (п.11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-объект защиты, являющийся медицинской организацией, оказывающей медицинскую помощь в стационарных условиях, не оборудован (оснащен) системой (средством)оповещения о пожаре, </w:t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 персональных устройств со световым, звуковым и вибрационными сигналами оповещения (п.12 предписания)</w:t>
      </w:r>
      <w:r>
        <w:rPr>
          <w:rFonts w:ascii="Times New Roman" w:eastAsia="Times New Roman" w:hAnsi="Times New Roman" w:cs="Times New Roman"/>
          <w:sz w:val="28"/>
          <w:szCs w:val="28"/>
        </w:rPr>
        <w:t>, чем 02.04.2025 совершило правонарушение, предусмотренное ч.13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Мурашова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нарушений правил пожарной безопасности не оспаривала, просила учесть финансовое и имущественное положение учреждения, которое достаточными денежными средствами для устранения всех пунктов предписания в установленный срок не располагает.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 оказывает платные услуги, но дохода от них недостаточно для того, чтобы привести объекты больницы в соответствии с требованиями пожарной безопасности.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врач учреждения обращалась к учредителю с ходатайствами о выделении денежных средств для выполнения пунктов предписания, субсидия на мероприятие выделена лишь в мае 2024 года, 31.05.2024 между ОКБ и ИП Токаревым заключены контракты на выполнение противопожарных мероприятий, срок исполнения которых определен 25.12.2025. Кроме того, считает неправомерным составление в отношении ОКБ нескольких протоколов по одному объекту «Инфекционному корпусу», так как, на основании Распоряжения Департамента по управлению государственным имуществом ХМАО-Югры от 23.12.2022 объекты недвижимого имущества: инфекционный корпус на 90 коек (блок В), инфекционный корпус на 90 коек (Блок Б), инфекционный корпус на 90 коек 2 очередь (Блок А в осях 1-13) и инфекционный корпус 2 очередь (Блок А в осях с 13-19) объединены в единый объект с титулом «Инфекционный корпус»., затем заменены на слова Единый объект с титулом «Больничный корпус». 04.05.2023 внесены соответствующие изменены в ЕРГН. Вместе с тем, протоколы по ст.19.5 КоАП РФ составлены по каждому корпусу. </w:t>
      </w:r>
      <w:r>
        <w:rPr>
          <w:rFonts w:ascii="Times New Roman" w:eastAsia="Times New Roman" w:hAnsi="Times New Roman" w:cs="Times New Roman"/>
          <w:sz w:val="28"/>
          <w:szCs w:val="28"/>
        </w:rPr>
        <w:t>Просила прекратить дело, в связи с отсутствием вины юридического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Законный представитель юридического лица – главный врач </w:t>
      </w:r>
      <w:r>
        <w:rPr>
          <w:rFonts w:ascii="Times New Roman" w:eastAsia="Times New Roman" w:hAnsi="Times New Roman" w:cs="Times New Roman"/>
          <w:sz w:val="28"/>
          <w:szCs w:val="28"/>
        </w:rPr>
        <w:t>Кутефа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 до начала судебного заседания представила возражение на протокол, согласно которому окружная клиническая больница является бюджетным учреждением, финансирование которого осуществляется Департаментом здравоохранения ХМАО-Югры, объект защиты находится в оперативном управлении, финансовые средства, выделяемые Учреждению, имеют строго целевое назначение. Штатным расписанием Учреждения не предусмотрены и отсутствуют сотрудники. Которые могут произвести работы по установке систем противопожарной защиты, в связи с чем, учреждение вынуждено заключать государственные контракты со специализированными организациями. Учреждение вменяется в вину пассивное поведение, вместе с тем, начиная с 2019 года учреждение многократно информировало Департамент здравоохранения о неисправности оборудования систем пожарной безопасности с просьбой выделить средства на цели обеспечения комплексной безопасности. При этом в соглашении №585 от 26.12.2023 «О порядке и условиях предоставления субсидии из бюджета ХМАО-Югры, мероприятие 52.27.03 (на цели обеспечения комплексной безопасности) отсутствовало. Субсидия на данное мероприятие выделена лишь в мае 2024 г. Учреждение 31.05.2024 заключило контракты с ИП Токаревым, срок выполнения которых определен 25.12.2025. Учреждение приняло все возможные меры к устранению допущенных нарушений, следовательно, отсутствует состав правонарушения, предусмотренный ч.13 ст.19.5 КоАП РФ, в связи с чем, дело просит прекратить.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считает неправомерным составление в отношении ОКБ нескольких протоколов по одному объекту «Инфекционному корпусу», так как, на основании Распоряжения Департамента по управлению государственным имуществом ХМАО-Югры от 23.12.2022 объекты недвижимого имущества: инфекционный корпус на 90 коек (блок В), инфекционный корпус на 90 коек (Блок Б), инфекционный корпус на 90 коек 2 очередь (Блок А в осях 1-13) и инфекционный корпус 2 очередь (Блок А в осях с 13-19) объединены в единый объект с титулом «Инфекционный корпус»., затем заменены на слова Единый объект с титулом «Больничный корпус». 04.05.2023 внесены соответствующие изменены в ЕРГН. Вместе с тем, протоколы по ст.19.5 КоАП РФ составлены по каждому корпусу.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защитника, изучив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13 статьи 19.5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 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</w:t>
      </w:r>
      <w:r>
        <w:rPr>
          <w:rFonts w:ascii="Times New Roman" w:eastAsia="Times New Roman" w:hAnsi="Times New Roman" w:cs="Times New Roman"/>
          <w:sz w:val="28"/>
          <w:szCs w:val="28"/>
        </w:rPr>
        <w:t>что БУ «Окружная клиническая больница» является учреждением здравоохранения, основным видом деятельности которого является деятельность больничных организаций.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14.04.2023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 «Окружная клиническая больница»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выдано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№2303/171</w:t>
      </w:r>
      <w:r>
        <w:rPr>
          <w:rFonts w:ascii="Times New Roman" w:eastAsia="Times New Roman" w:hAnsi="Times New Roman" w:cs="Times New Roman"/>
          <w:sz w:val="28"/>
          <w:szCs w:val="28"/>
        </w:rPr>
        <w:t>/-86/7</w:t>
      </w:r>
      <w:r>
        <w:rPr>
          <w:rFonts w:ascii="Times New Roman" w:eastAsia="Times New Roman" w:hAnsi="Times New Roman" w:cs="Times New Roman"/>
          <w:sz w:val="28"/>
          <w:szCs w:val="28"/>
        </w:rPr>
        <w:t>-П/РВП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нарушений обязательных требований пожарной безопасности.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№2303/17</w:t>
      </w:r>
      <w:r>
        <w:rPr>
          <w:rFonts w:ascii="Times New Roman" w:eastAsia="Times New Roman" w:hAnsi="Times New Roman" w:cs="Times New Roman"/>
          <w:sz w:val="28"/>
          <w:szCs w:val="28"/>
        </w:rPr>
        <w:t>1/-86/7</w:t>
      </w:r>
      <w:r>
        <w:rPr>
          <w:rFonts w:ascii="Times New Roman" w:eastAsia="Times New Roman" w:hAnsi="Times New Roman" w:cs="Times New Roman"/>
          <w:sz w:val="28"/>
          <w:szCs w:val="28"/>
        </w:rPr>
        <w:t>-П/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получено представителем Учреждения 14.04.2023, установлен срок для исполнения предписаний 01.04.2024, который решением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пожнадзора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26.03.2024 </w:t>
      </w:r>
      <w:r>
        <w:rPr>
          <w:rFonts w:ascii="Times New Roman" w:eastAsia="Times New Roman" w:hAnsi="Times New Roman" w:cs="Times New Roman"/>
          <w:sz w:val="28"/>
          <w:szCs w:val="28"/>
        </w:rPr>
        <w:t>продлен до 01.04.2025.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13.05.2025 по итогам проведения внеплановой выездной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акт №2504/015-86/54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-В/АВП, которым установлено 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пунктов </w:t>
      </w:r>
      <w:r>
        <w:rPr>
          <w:rFonts w:ascii="Times New Roman" w:eastAsia="Times New Roman" w:hAnsi="Times New Roman" w:cs="Times New Roman"/>
          <w:sz w:val="28"/>
          <w:szCs w:val="28"/>
        </w:rPr>
        <w:t>№№4, 5, 6, 7, 8, 9, 10, 11, 12 предписания №2303/171-86/7-П/ПВП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14.04.2023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выразившихся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на объекте защиты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котором осуществляется деятельность в сфере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«Инфекционный корпус на 90 коек ОКБ.» (Блок А в осях 1</w:t>
      </w:r>
      <w:r>
        <w:rPr>
          <w:rFonts w:ascii="Times New Roman" w:eastAsia="Times New Roman" w:hAnsi="Times New Roman" w:cs="Times New Roman"/>
          <w:sz w:val="28"/>
          <w:szCs w:val="28"/>
        </w:rPr>
        <w:t>3-39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находящемся в оперативном управлении данного учреждения здравоохранения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-помещения для инженерного оборудования не защищены системой пожарной сигнализации (п.4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 формировании сигнала «пожар» на подвальном и техническом этажах не обеспечивается автоматическое включение системы оповещения и управления эвакуацией (п.5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-помещения №№2, 4, 39, 46, 51, 60, 61, 65 на 3 этаже, №№44, 46 на 2 этаже, №№3, 16, 17, 24, 69 на 1 этаже не защищены системой пожарной сигнализации (п.6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помещении №10 на 1 этаже с атриумом высотой более 12 м. установлены точечные пожарные </w:t>
      </w:r>
      <w:r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(п.7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помещениях №2, 15 на 2 этаже значение уровня звуковых сигналов СОУЭ менее нормативного (п.8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помещениях №№55 на 2 этаже, №№75, 15, 11 на 1 этаже значение уровня звуковых сигналов СОУЭ менее нормативного (п.9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помещении №76 (палата) на 2 этаже значение уровня звуковых сигналов СОУЭ менее нормативного (п.10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коридорах 1-го и 3-го этажей не включены световые </w:t>
      </w:r>
      <w:r>
        <w:rPr>
          <w:rFonts w:ascii="Times New Roman" w:eastAsia="Times New Roman" w:hAnsi="Times New Roman" w:cs="Times New Roman"/>
          <w:sz w:val="28"/>
          <w:szCs w:val="28"/>
        </w:rPr>
        <w:t>оповещатели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«Выход», установленные в коридорах (п.11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-объект защиты, являющийся медицинской организацией, оказывающей медицинскую помощь в стационарных условиях, не оборудован (оснащен) системой (средством)оповещения о пожаре, с использованием персональных устройств со световым, звуковым и вибрационными сигналами оповещения (п.12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Фактические обстоятельства дела подтверждаются протоколом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№2505-86-015-00075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/6/1 от 10.06.2025; решением о проведении внеплановой выездной проверки от 16.04.2025; актом внеплановой выездной проверки от 13.05.2025; протоколом осмотра от 13.05.2025; протоколом инструментального обследования от 13.05.2025;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опроса контролируемого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3.05.2025;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предписанием об устранении выявленных нарушений требований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№2504/015-86/54-В/ПВП от 13.05.2025;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заявлением о согласовании с прокурором проведения внепланового контрольного мероприятия от 16.04.2025; копией решения прокурора о результатах рассмотрения о согласовании проведения внепланового контрольного (надзорного) мероприятия от 17.04.2025; копией предписания об устранении нарушений обязательных требований пожа</w:t>
      </w:r>
      <w:r>
        <w:rPr>
          <w:rFonts w:ascii="Times New Roman" w:eastAsia="Times New Roman" w:hAnsi="Times New Roman" w:cs="Times New Roman"/>
          <w:sz w:val="28"/>
          <w:szCs w:val="28"/>
        </w:rPr>
        <w:t>рной безопасности №2302/171-86/7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-П/РВП от 14.04.2023; </w:t>
      </w:r>
      <w:r>
        <w:rPr>
          <w:rFonts w:ascii="Times New Roman" w:eastAsia="Times New Roman" w:hAnsi="Times New Roman" w:cs="Times New Roman"/>
          <w:sz w:val="28"/>
          <w:szCs w:val="28"/>
        </w:rPr>
        <w:t>копиями заключений №З-364/2025 от 07.05.2025 и №З-365</w:t>
      </w:r>
      <w:r>
        <w:rPr>
          <w:rFonts w:ascii="Times New Roman" w:eastAsia="Times New Roman" w:hAnsi="Times New Roman" w:cs="Times New Roman"/>
          <w:sz w:val="28"/>
          <w:szCs w:val="28"/>
        </w:rPr>
        <w:t>/2025 от 07.05.2025 по результатам испытаний (исследований) и измерений в области пожарной безопасности, копией выписки из ЕГРЮЛ в отношении БУ «Окружная клиническая больница».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дела свидетельствуют о том, что юридическим лицом БУ «Окружная клиническая больница» не приняты все зависящие от него меры по надлежащему выполнению в полном объеме предписания об устранении нарушений обязательных требований пожарной безопасности в установленный срок.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главным врачом переписка с Департаментом здравоохранения ХМАО-Югры и КУ «Центр медицины катастроф», согласно которой Учреждение после вынесения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дважды 14.07.2023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19.07.2024 обращалось в Департамент здравоохранения округа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единожды </w:t>
      </w:r>
      <w:r>
        <w:rPr>
          <w:rFonts w:ascii="Times New Roman" w:eastAsia="Times New Roman" w:hAnsi="Times New Roman" w:cs="Times New Roman"/>
          <w:sz w:val="28"/>
          <w:szCs w:val="28"/>
        </w:rPr>
        <w:t>в КУ «Центр медицины катастроф» с просьбой к Департаменту о выделении дополнительного финансирования на реализацию замены автоматической пожарной сигнализации на объектах БУ «Окружная клиническая больница» и к Центру медицины катастроф об оказании содействия в выделении финансирования для реализации данных мероприятий, не свидетельствует о принятии всех возможных мер для исполнения предписания и устранения обязательных требований пожарной безопасности.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суд отмечает, что данные письма носят формальный характер, не содержат расчетов о необходимых затратах для устранения пунктов выявленных нарушений, содержащихся в предписании от 14.04.2023.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 учредителями БУ «Окружная клиническая больница» являются как Департамент здравоохранения так и Департамент государственной собственности ХМАО-Югры, при этом, каких-либо мотивированных писем в адрес Департамента государственной собственности округа Учреждением не направлялось, как и в адрес Правительства и Губернатора автономного округа.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указывают на бездействие юридического лица при исполнении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пожнадзора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 факт недостаточности финансирования не является основанием для невыполнения законного предписания органа, осуществляющего государственный пожарный надзор. При этом,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пояснения</w:t>
      </w:r>
      <w:r>
        <w:rPr>
          <w:rFonts w:ascii="Times New Roman" w:eastAsia="Times New Roman" w:hAnsi="Times New Roman" w:cs="Times New Roman"/>
          <w:sz w:val="28"/>
          <w:szCs w:val="28"/>
        </w:rPr>
        <w:t>м 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больница оказывает платные услуги, доходы от которых также могли быть направлены на устранение нарушений обязательных требований пожарной безопасности.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о неправомерности составления 4-х протоколов по ч.13 ст.19.5 КоАП РФ по одному объекту «инфекционный корпус» суд находит несостоятельными, так как, протоколы об административных правонарушениях, предусмотренные ч.13 ст.19.5 КоАП РФ, составлены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пожнадзором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отдельных предписаний.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Оценив, представленные доказательства, в их совокупности, суд находит их допустимыми и приходит к выводу, что обстоятельства, изложенные в протоколе об административном правонарушении, иных материалах дела не противоречат друг другу, оснований не доверять сведениям, указанным в них, не имеется, протокол составлен уполномоченным должностным лицом в соответствии с требованиями КоАП РФ, нарушений процессуальных требований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возможность привлечения БУ «Окружная клиническая больница» к административной ответственности,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БУ «Окружная клиническая больница» мировой судья квалифицирует по ч.13 ст.19.5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административное правонарушение, в соответствии с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4" w:anchor="/document/12125267/entry/4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hyperlink r:id="rId4" w:anchor="/document/12125267/entry/195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ч.13 ст.19.5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в виде наложения административного штрафа от девяноста тысяч до ста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раздела 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частью 2 настоящей статьи (</w:t>
      </w:r>
      <w:hyperlink r:id="rId4" w:anchor="/document/12125267/entry/4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</w:t>
      </w:r>
      <w:hyperlink r:id="rId4" w:anchor="/document/12125267/entry/41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4" w:anchor="/document/12125267/entry/1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13.15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33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13.37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4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14.31 - 14.33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45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5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52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15.27.3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5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19.8 - 19.8.2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19.23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2125267/entry/19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статьи 19.27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19.29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0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3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0280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20.28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оснований для замены штрафа предупреждением у суда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 (</w:t>
      </w:r>
      <w:hyperlink r:id="rId4" w:anchor="/document/12139487/entry/21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абз.3 п.21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24.03.2005 №5 «О некоторых вопросах, возникших у судов при применении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позиции, высказанной Конституционным Судом Российской Федерации в </w:t>
      </w:r>
      <w:hyperlink r:id="rId4" w:anchor="/document/71332962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17.02.2016 №5-П, относительно правомочия суда признать административное правонарушение малозначительным и, соответственно, освободить совершившее его лицо от административной ответственности (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 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правонарушениях), то такой способ обеспечения справедливости административного наказания и его соразмерности правонарушающему деянию можно считать оправданным лишь при условии, что это деяние с учетом его характера, личности правонарушителя и тяжести наступивших последствий хотя формально и содержит признаки состава административного правонарушения, но не причиняет существенного ущерба охраняемым общественным отношениям.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использование такой возможности всякий раз, когда правоприменительный орган считает наказание несоразмерным, способствовало бы, как отмечал Конституционный Суд Российской Федерации в </w:t>
      </w:r>
      <w:hyperlink r:id="rId4" w:anchor="/document/70299954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17.01.2013 №1-П и от 25.02.2014 №</w:t>
      </w:r>
      <w:hyperlink r:id="rId4" w:anchor="/document/70599182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4-П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формированию атмосферы безнаказанности, несовместимой с принципом неотвратимости ответственности, вытекающим из </w:t>
      </w:r>
      <w:hyperlink r:id="rId4" w:anchor="/document/10103000/entry/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статей 4 (часть 2)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0103000/entry/1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 (часть 2)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0103000/entry/1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 (части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0103000/entry/19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Допущенные нарушения требований пожарной безопасности, на необходимость устранения которых было указано в предписании, могут повлечь негативные последствия, привести к недопустимому риску для жизни и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людей на территории и в помещениях БУ «Окружная клиническая больница», в связи с чем, оснований для признания совершенного правонарушения малозначительным и освобождения юридического лица от административной ответственности на основании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 «Окружная клиническая больница»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совершено правонарушение, посягающее на порядок управления. Обстоятельствами, смягчающими административную ответственность, являются признание вины в совершенном правонарушении, выполнение части пунктов предписания, принятие мер для устранения допущенных нарушений противопожарной безопасности, отягчающих административную ответственность,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суд считает возможным 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БУ 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штрафа в минимальном размере, предусмотренном ч.13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юридическое лицо БУ «Окружная клиническая больница» виновным в совершении административного правонарушения, предусмотренного ч.13 ст.19.5 КоАП РФ, и назначить ему наказание в виде административного штрафа в размере 90 000 (девяноста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Ханты-Мансийска БИК 007162163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72011601193010005140 УИН: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0412365400725008032519123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23146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21EB-F40D-4300-A40E-3653F02AB4D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